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07ECC2A9"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5B28D9">
        <w:rPr>
          <w:rFonts w:ascii="Arial" w:hAnsi="Arial"/>
          <w:b/>
          <w:sz w:val="24"/>
        </w:rPr>
        <w:t>3GPP TSG-RAN WG4 Meeting #115</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5B28D9">
        <w:rPr>
          <w:rFonts w:ascii="Arial" w:hAnsi="Arial"/>
          <w:b/>
          <w:sz w:val="24"/>
          <w:lang w:eastAsia="zh-CN"/>
        </w:rPr>
        <w:t>R4-2507028</w:t>
      </w:r>
      <w:r w:rsidR="002F711A">
        <w:rPr>
          <w:rFonts w:ascii="Arial" w:hAnsi="Arial"/>
          <w:b/>
          <w:sz w:val="24"/>
        </w:rPr>
        <w:fldChar w:fldCharType="end"/>
      </w:r>
    </w:p>
    <w:p w14:paraId="09B24F27" w14:textId="21705E91"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5B28D9">
        <w:rPr>
          <w:rFonts w:ascii="Arial" w:eastAsia="MS Mincho" w:hAnsi="Arial"/>
          <w:b/>
          <w:noProof/>
          <w:sz w:val="24"/>
          <w:lang w:eastAsia="zh-CN"/>
        </w:rPr>
        <w:t>Malta, MT, 19 - 23 May,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4C3EE152"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5B28D9">
        <w:rPr>
          <w:rFonts w:ascii="Arial" w:hAnsi="Arial"/>
          <w:sz w:val="24"/>
          <w:lang w:val="en-US" w:eastAsia="zh-CN"/>
        </w:rPr>
        <w:t>Discussion on NR NTN Phase 3 demodulation performance requirements</w:t>
      </w:r>
      <w:r w:rsidR="00E10381">
        <w:rPr>
          <w:rFonts w:ascii="Arial" w:hAnsi="Arial"/>
          <w:sz w:val="24"/>
          <w:lang w:val="en-US" w:eastAsia="zh-CN"/>
        </w:rPr>
        <w:fldChar w:fldCharType="end"/>
      </w:r>
    </w:p>
    <w:p w14:paraId="602DCD62" w14:textId="566A585E"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5B28D9">
        <w:rPr>
          <w:rStyle w:val="afd"/>
          <w:lang w:val="fr-FR"/>
        </w:rPr>
        <w:t>Huawei,HiSilicon</w:t>
      </w:r>
      <w:r w:rsidR="00B3237E" w:rsidRPr="00232768">
        <w:rPr>
          <w:rStyle w:val="afd"/>
          <w:lang w:val="fr-FR"/>
        </w:rPr>
        <w:fldChar w:fldCharType="end"/>
      </w:r>
    </w:p>
    <w:p w14:paraId="582D0E47" w14:textId="78C15D0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5B28D9">
        <w:rPr>
          <w:rFonts w:ascii="Arial" w:hAnsi="Arial"/>
          <w:sz w:val="24"/>
          <w:lang w:val="pt-BR"/>
        </w:rPr>
        <w:t>7.31.7</w:t>
      </w:r>
      <w:r w:rsidR="00232768">
        <w:rPr>
          <w:rFonts w:ascii="Arial" w:hAnsi="Arial"/>
          <w:sz w:val="24"/>
          <w:lang w:val="pt-BR"/>
        </w:rPr>
        <w:fldChar w:fldCharType="end"/>
      </w:r>
    </w:p>
    <w:p w14:paraId="5389A64A" w14:textId="5D019A9F"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5B28D9">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04384733" w:rsidR="008C7FB6" w:rsidRPr="001B33CB" w:rsidRDefault="008C7FB6" w:rsidP="008C7FB6">
      <w:pPr>
        <w:rPr>
          <w:lang w:val="en-US" w:eastAsia="zh-CN"/>
        </w:rPr>
      </w:pPr>
      <w:r w:rsidRPr="001B33CB">
        <w:rPr>
          <w:lang w:eastAsia="zh-CN"/>
        </w:rPr>
        <w:t>During RAN#</w:t>
      </w:r>
      <w:r w:rsidR="00155662">
        <w:rPr>
          <w:lang w:eastAsia="zh-CN"/>
        </w:rPr>
        <w:t>1</w:t>
      </w:r>
      <w:r w:rsidR="00472C26">
        <w:rPr>
          <w:lang w:eastAsia="zh-CN"/>
        </w:rPr>
        <w:t>06</w:t>
      </w:r>
      <w:r w:rsidRPr="001B33CB">
        <w:rPr>
          <w:lang w:eastAsia="zh-CN"/>
        </w:rPr>
        <w:t xml:space="preserve"> meeting, </w:t>
      </w:r>
      <w:r w:rsidR="00472C26">
        <w:rPr>
          <w:lang w:eastAsia="zh-CN"/>
        </w:rPr>
        <w:t>revised WID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5B28D9">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472C26" w:rsidRPr="00472C26">
        <w:rPr>
          <w:lang w:eastAsia="zh-CN"/>
        </w:rPr>
        <w:t>Non-Terrestrial Networks (NTN) for NR Phase 3</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472C26" w:rsidRPr="00472C26">
        <w:rPr>
          <w:lang w:val="en-US" w:eastAsia="zh-CN"/>
        </w:rPr>
        <w:t>NR NTN Phase 3 demodulation performance requirements</w:t>
      </w:r>
      <w:r w:rsidR="001616E8" w:rsidRPr="001616E8">
        <w:rPr>
          <w:lang w:val="en-US" w:eastAsia="zh-CN"/>
        </w:rPr>
        <w:t>.</w:t>
      </w:r>
    </w:p>
    <w:p w14:paraId="482F2020" w14:textId="4087D17C" w:rsidR="001616E8" w:rsidRDefault="00E24AD9" w:rsidP="001616E8">
      <w:pPr>
        <w:pStyle w:val="1"/>
        <w:spacing w:before="0" w:after="0"/>
        <w:rPr>
          <w:lang w:val="en-US" w:eastAsia="zh-CN"/>
        </w:rPr>
      </w:pPr>
      <w:r>
        <w:rPr>
          <w:lang w:val="en-US" w:eastAsia="zh-CN"/>
        </w:rPr>
        <w:t>Discussion</w:t>
      </w:r>
    </w:p>
    <w:p w14:paraId="357C5871" w14:textId="3404E275" w:rsidR="00F33448" w:rsidRDefault="00F33448" w:rsidP="00F33448">
      <w:pPr>
        <w:rPr>
          <w:lang w:val="en-US" w:eastAsia="zh-CN"/>
        </w:rPr>
      </w:pPr>
      <w:r>
        <w:rPr>
          <w:lang w:val="en-US" w:eastAsia="zh-CN"/>
        </w:rPr>
        <w:t>Based on the WID, the main</w:t>
      </w:r>
      <w:r w:rsidR="00121A2C">
        <w:rPr>
          <w:lang w:val="en-US" w:eastAsia="zh-CN"/>
        </w:rPr>
        <w:t>ly</w:t>
      </w:r>
      <w:r>
        <w:rPr>
          <w:lang w:val="en-US" w:eastAsia="zh-CN"/>
        </w:rPr>
        <w:t xml:space="preserve"> </w:t>
      </w:r>
      <w:r>
        <w:rPr>
          <w:rFonts w:hint="eastAsia"/>
          <w:lang w:val="en-US" w:eastAsia="zh-CN"/>
        </w:rPr>
        <w:t>RAN</w:t>
      </w:r>
      <w:r>
        <w:rPr>
          <w:lang w:val="en-US" w:eastAsia="zh-CN"/>
        </w:rPr>
        <w:t xml:space="preserve">4 </w:t>
      </w:r>
      <w:r w:rsidR="00D66E9A" w:rsidRPr="00D66E9A">
        <w:rPr>
          <w:lang w:val="en-US" w:eastAsia="zh-CN"/>
        </w:rPr>
        <w:t xml:space="preserve">demodulation </w:t>
      </w:r>
      <w:r>
        <w:rPr>
          <w:lang w:val="en-US" w:eastAsia="zh-CN"/>
        </w:rPr>
        <w:t>related enhancement is listed as following:</w:t>
      </w:r>
    </w:p>
    <w:p w14:paraId="18E98075" w14:textId="61562B8A" w:rsidR="00F33448" w:rsidRPr="00AC3EAD" w:rsidRDefault="00AC3EAD" w:rsidP="00F33448">
      <w:pPr>
        <w:rPr>
          <w:b/>
          <w:bCs/>
          <w:u w:val="single"/>
          <w:lang w:val="en-US" w:eastAsia="zh-CN"/>
        </w:rPr>
      </w:pPr>
      <w:r w:rsidRPr="00AC3EAD">
        <w:rPr>
          <w:b/>
          <w:bCs/>
          <w:u w:val="single"/>
          <w:lang w:val="en-US" w:eastAsia="zh-CN"/>
        </w:rPr>
        <w:t>Downlink coverage enhancements for both GSO and NGSO in FR1-NTN or FR2-NTN</w:t>
      </w:r>
    </w:p>
    <w:p w14:paraId="3045C667" w14:textId="7B3D83B2" w:rsidR="00D60119" w:rsidRDefault="00E6769A" w:rsidP="00F33448">
      <w:pPr>
        <w:rPr>
          <w:lang w:val="en-US" w:eastAsia="zh-CN"/>
        </w:rPr>
      </w:pPr>
      <w:r>
        <w:rPr>
          <w:lang w:val="en-US" w:eastAsia="zh-CN"/>
        </w:rPr>
        <w:t xml:space="preserve">Based on </w:t>
      </w:r>
      <w:r>
        <w:rPr>
          <w:rFonts w:hint="eastAsia"/>
          <w:lang w:val="en-US" w:eastAsia="zh-CN"/>
        </w:rPr>
        <w:t>R</w:t>
      </w:r>
      <w:r>
        <w:rPr>
          <w:lang w:val="en-US" w:eastAsia="zh-CN"/>
        </w:rPr>
        <w:t>AN1 agreements</w:t>
      </w:r>
      <w:r w:rsidR="00D60119">
        <w:rPr>
          <w:lang w:val="en-US" w:eastAsia="zh-CN"/>
        </w:rPr>
        <w:t xml:space="preserve">, </w:t>
      </w:r>
      <w:r w:rsidR="00D60119" w:rsidRPr="00D60119">
        <w:rPr>
          <w:lang w:val="en-US" w:eastAsia="zh-CN"/>
        </w:rPr>
        <w:t>PDCCH repetition</w:t>
      </w:r>
      <w:r w:rsidR="00D60119">
        <w:rPr>
          <w:lang w:val="en-US" w:eastAsia="zh-CN"/>
        </w:rPr>
        <w:t xml:space="preserve"> for CSS (</w:t>
      </w:r>
      <w:r w:rsidR="00D60119" w:rsidRPr="00D60119">
        <w:rPr>
          <w:lang w:val="en-US" w:eastAsia="zh-CN"/>
        </w:rPr>
        <w:t>except for Type-3</w:t>
      </w:r>
      <w:r w:rsidR="00D60119">
        <w:rPr>
          <w:lang w:val="en-US" w:eastAsia="zh-CN"/>
        </w:rPr>
        <w:t xml:space="preserve">) and PDSCH </w:t>
      </w:r>
      <w:r w:rsidR="00D60119" w:rsidRPr="00D60119">
        <w:rPr>
          <w:lang w:val="en-US" w:eastAsia="zh-CN"/>
        </w:rPr>
        <w:t>repetition</w:t>
      </w:r>
      <w:r w:rsidR="00D60119">
        <w:rPr>
          <w:lang w:val="en-US" w:eastAsia="zh-CN"/>
        </w:rPr>
        <w:t xml:space="preserve"> for SIB1</w:t>
      </w:r>
      <w:r w:rsidR="00F37157">
        <w:rPr>
          <w:lang w:val="en-US" w:eastAsia="zh-CN"/>
        </w:rPr>
        <w:t>/Msg4</w:t>
      </w:r>
      <w:r w:rsidR="00D60119">
        <w:rPr>
          <w:lang w:val="en-US" w:eastAsia="zh-CN"/>
        </w:rPr>
        <w:t xml:space="preserve"> are supported. However, the enhancements are not target on RRC connected mode, it is difficult to </w:t>
      </w:r>
      <w:r w:rsidR="00121A2C">
        <w:rPr>
          <w:lang w:val="en-US" w:eastAsia="zh-CN"/>
        </w:rPr>
        <w:t xml:space="preserve">perform the </w:t>
      </w:r>
      <w:r w:rsidR="00D60119">
        <w:rPr>
          <w:lang w:val="en-US" w:eastAsia="zh-CN"/>
        </w:rPr>
        <w:t xml:space="preserve">test. </w:t>
      </w:r>
      <w:r w:rsidR="00121A2C">
        <w:rPr>
          <w:lang w:val="en-US" w:eastAsia="zh-CN"/>
        </w:rPr>
        <w:t>So w</w:t>
      </w:r>
      <w:r w:rsidR="00D60119">
        <w:rPr>
          <w:lang w:val="en-US" w:eastAsia="zh-CN"/>
        </w:rPr>
        <w:t>e propose to not define requirements</w:t>
      </w:r>
      <w:r w:rsidR="00121A2C">
        <w:rPr>
          <w:lang w:val="en-US" w:eastAsia="zh-CN"/>
        </w:rPr>
        <w:t xml:space="preserve"> for above enhancements</w:t>
      </w:r>
      <w:r w:rsidR="00D60119">
        <w:rPr>
          <w:lang w:val="en-US" w:eastAsia="zh-CN"/>
        </w:rPr>
        <w:t>.</w:t>
      </w:r>
    </w:p>
    <w:p w14:paraId="15F0F604" w14:textId="13BFCB48" w:rsidR="00D61605" w:rsidRDefault="00D61605" w:rsidP="00D61605">
      <w:pPr>
        <w:pStyle w:val="Proposal"/>
      </w:pPr>
      <w:r>
        <w:rPr>
          <w:rFonts w:hint="eastAsia"/>
        </w:rPr>
        <w:t>D</w:t>
      </w:r>
      <w:r>
        <w:t xml:space="preserve">o not </w:t>
      </w:r>
      <w:r w:rsidRPr="00D61605">
        <w:t>define requirements for</w:t>
      </w:r>
      <w:r>
        <w:t xml:space="preserve"> d</w:t>
      </w:r>
      <w:r w:rsidRPr="00D61605">
        <w:t>ownlink coverage enhancements</w:t>
      </w:r>
      <w:r>
        <w:t>.</w:t>
      </w:r>
    </w:p>
    <w:p w14:paraId="39485A70" w14:textId="11ED57D2" w:rsidR="00F33448" w:rsidRPr="00AC3EAD" w:rsidRDefault="00F33448" w:rsidP="00F33448">
      <w:pPr>
        <w:rPr>
          <w:b/>
          <w:bCs/>
          <w:u w:val="single"/>
          <w:lang w:val="en-US" w:eastAsia="zh-CN"/>
        </w:rPr>
      </w:pPr>
      <w:r w:rsidRPr="00AC3EAD">
        <w:rPr>
          <w:b/>
          <w:bCs/>
          <w:u w:val="single"/>
          <w:lang w:val="en-US" w:eastAsia="zh-CN"/>
        </w:rPr>
        <w:t>Uplink Capacity/Cell Throughput Enhancement for FR1-NTN</w:t>
      </w:r>
    </w:p>
    <w:p w14:paraId="594EBED2" w14:textId="75C773BA" w:rsidR="00AC3EAD" w:rsidRDefault="00E6769A" w:rsidP="00F33448">
      <w:pPr>
        <w:rPr>
          <w:lang w:val="en-US" w:eastAsia="zh-CN"/>
        </w:rPr>
      </w:pPr>
      <w:r w:rsidRPr="00E6769A">
        <w:rPr>
          <w:lang w:val="en-US" w:eastAsia="zh-CN"/>
        </w:rPr>
        <w:t xml:space="preserve">Based on RAN1 agreements, </w:t>
      </w:r>
      <w:r w:rsidR="00AA24B4" w:rsidRPr="00AA24B4">
        <w:rPr>
          <w:lang w:val="en-US" w:eastAsia="zh-CN"/>
        </w:rPr>
        <w:t xml:space="preserve">inter-slot OCC </w:t>
      </w:r>
      <w:r w:rsidR="00AA24B4">
        <w:rPr>
          <w:lang w:val="en-US" w:eastAsia="zh-CN"/>
        </w:rPr>
        <w:t xml:space="preserve">length 2 and </w:t>
      </w:r>
      <w:r w:rsidRPr="00E6769A">
        <w:rPr>
          <w:lang w:val="en-US" w:eastAsia="zh-CN"/>
        </w:rPr>
        <w:t xml:space="preserve">inter-slot OCC length </w:t>
      </w:r>
      <w:r>
        <w:rPr>
          <w:lang w:val="en-US" w:eastAsia="zh-CN"/>
        </w:rPr>
        <w:t xml:space="preserve">4 is supported for </w:t>
      </w:r>
      <w:r w:rsidRPr="00E6769A">
        <w:rPr>
          <w:lang w:val="en-US" w:eastAsia="zh-CN"/>
        </w:rPr>
        <w:t xml:space="preserve">DFT-s-OFDM </w:t>
      </w:r>
      <w:r w:rsidR="00121A2C" w:rsidRPr="00121A2C">
        <w:rPr>
          <w:lang w:val="en-US" w:eastAsia="zh-CN"/>
        </w:rPr>
        <w:t>PUSCH</w:t>
      </w:r>
      <w:r w:rsidR="00121A2C">
        <w:rPr>
          <w:lang w:val="en-US" w:eastAsia="zh-CN"/>
        </w:rPr>
        <w:t xml:space="preserve"> </w:t>
      </w:r>
      <w:r w:rsidR="00AA24B4" w:rsidRPr="00AA24B4">
        <w:rPr>
          <w:lang w:val="en-US" w:eastAsia="zh-CN"/>
        </w:rPr>
        <w:t xml:space="preserve">repetition </w:t>
      </w:r>
      <w:r w:rsidR="00AA24B4">
        <w:rPr>
          <w:lang w:val="en-US" w:eastAsia="zh-CN"/>
        </w:rPr>
        <w:t>Type</w:t>
      </w:r>
      <w:r>
        <w:rPr>
          <w:lang w:val="en-US" w:eastAsia="zh-CN"/>
        </w:rPr>
        <w:t xml:space="preserve"> A is supported. Considering that there is baseband </w:t>
      </w:r>
      <w:r w:rsidR="00E54681">
        <w:rPr>
          <w:lang w:val="en-US" w:eastAsia="zh-CN"/>
        </w:rPr>
        <w:t xml:space="preserve">processing </w:t>
      </w:r>
      <w:r>
        <w:rPr>
          <w:lang w:val="en-US" w:eastAsia="zh-CN"/>
        </w:rPr>
        <w:t xml:space="preserve">impact, we propose to define one requirement with </w:t>
      </w:r>
      <w:r w:rsidRPr="00E6769A">
        <w:rPr>
          <w:lang w:val="en-US" w:eastAsia="zh-CN"/>
        </w:rPr>
        <w:t>inter-slot OCC length 2</w:t>
      </w:r>
      <w:r>
        <w:rPr>
          <w:lang w:val="en-US" w:eastAsia="zh-CN"/>
        </w:rPr>
        <w:t xml:space="preserve"> to verify the performance </w:t>
      </w:r>
      <w:r w:rsidR="00E54681">
        <w:rPr>
          <w:lang w:val="en-US" w:eastAsia="zh-CN"/>
        </w:rPr>
        <w:t>of</w:t>
      </w:r>
      <w:r>
        <w:rPr>
          <w:lang w:val="en-US" w:eastAsia="zh-CN"/>
        </w:rPr>
        <w:t xml:space="preserve"> this feature.</w:t>
      </w:r>
    </w:p>
    <w:p w14:paraId="2F4F8937" w14:textId="2B8F8821" w:rsidR="00E6769A" w:rsidRPr="00121A2C" w:rsidRDefault="00E6769A" w:rsidP="00E6769A">
      <w:pPr>
        <w:pStyle w:val="Proposal"/>
      </w:pPr>
      <w:r>
        <w:t>D</w:t>
      </w:r>
      <w:r w:rsidRPr="00E6769A">
        <w:t xml:space="preserve">efine one </w:t>
      </w:r>
      <w:r w:rsidR="00E54681">
        <w:t xml:space="preserve">performance </w:t>
      </w:r>
      <w:r w:rsidRPr="00E6769A">
        <w:t>requirement with inter-slot OCC length 2</w:t>
      </w:r>
      <w:r>
        <w:t>.</w:t>
      </w:r>
    </w:p>
    <w:p w14:paraId="4EA85F73" w14:textId="48223460" w:rsidR="00F33448" w:rsidRPr="00AC3EAD" w:rsidRDefault="00F33448" w:rsidP="00F33448">
      <w:pPr>
        <w:rPr>
          <w:b/>
          <w:bCs/>
          <w:u w:val="single"/>
          <w:lang w:val="en-US" w:eastAsia="zh-CN"/>
        </w:rPr>
      </w:pPr>
      <w:r w:rsidRPr="00AC3EAD">
        <w:rPr>
          <w:b/>
          <w:bCs/>
          <w:u w:val="single"/>
          <w:lang w:val="en-US" w:eastAsia="zh-CN"/>
        </w:rPr>
        <w:t>Rel-17 RedCap and Rel-18 eRedCap UEs with NR NTN operating in FR1-NTN bands</w:t>
      </w:r>
    </w:p>
    <w:p w14:paraId="47D14069" w14:textId="3DD46BEE" w:rsidR="000D542C" w:rsidRDefault="000D542C" w:rsidP="000D542C">
      <w:pPr>
        <w:rPr>
          <w:lang w:val="en-US" w:eastAsia="zh-CN"/>
        </w:rPr>
      </w:pPr>
      <w:r>
        <w:rPr>
          <w:rFonts w:hint="eastAsia"/>
          <w:lang w:val="en-US" w:eastAsia="zh-CN"/>
        </w:rPr>
        <w:t>B</w:t>
      </w:r>
      <w:r>
        <w:rPr>
          <w:lang w:val="en-US" w:eastAsia="zh-CN"/>
        </w:rPr>
        <w:t xml:space="preserve">ased on existing RAN agreements, </w:t>
      </w:r>
      <w:r w:rsidRPr="000D542C">
        <w:rPr>
          <w:lang w:val="en-US" w:eastAsia="zh-CN"/>
        </w:rPr>
        <w:t>NTN UE also need to pass TN test cases by the following applicability rule</w:t>
      </w:r>
      <w:r>
        <w:rPr>
          <w:lang w:val="en-US" w:eastAsia="zh-CN"/>
        </w:rPr>
        <w:t>:</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3"/>
      </w:tblGrid>
      <w:tr w:rsidR="000D542C" w:rsidRPr="00A80C11" w14:paraId="551255A1" w14:textId="77777777" w:rsidTr="00CA7C1A">
        <w:trPr>
          <w:trHeight w:val="153"/>
        </w:trPr>
        <w:tc>
          <w:tcPr>
            <w:tcW w:w="5000" w:type="pct"/>
            <w:vAlign w:val="center"/>
          </w:tcPr>
          <w:p w14:paraId="41A0E8DE" w14:textId="77777777" w:rsidR="000D542C" w:rsidRPr="00A80C11" w:rsidRDefault="000D542C" w:rsidP="00CA7C1A">
            <w:pPr>
              <w:pStyle w:val="TAN"/>
              <w:rPr>
                <w:i/>
                <w:iCs/>
                <w:lang w:val="en-US"/>
              </w:rPr>
            </w:pPr>
            <w:r w:rsidRPr="00A80C11">
              <w:rPr>
                <w:i/>
                <w:iCs/>
                <w:lang w:val="en-US"/>
              </w:rPr>
              <w:t>Note:</w:t>
            </w:r>
            <w:r w:rsidRPr="00A80C11">
              <w:rPr>
                <w:i/>
                <w:iCs/>
                <w:lang w:val="en-US"/>
              </w:rPr>
              <w:tab/>
              <w:t>For UE supporting NR NTN access (nonTerrestrialNetwork-r17), the requirements in TS38.101-4 also applies to UE according to applicability rules in TS38.101-4 Clause 5.1, 6.1, 7.1 and 8.1</w:t>
            </w:r>
          </w:p>
        </w:tc>
      </w:tr>
    </w:tbl>
    <w:p w14:paraId="4AA98E75" w14:textId="628A78FB" w:rsidR="000D542C" w:rsidRDefault="000D542C" w:rsidP="00F33448">
      <w:pPr>
        <w:rPr>
          <w:lang w:eastAsia="zh-CN"/>
        </w:rPr>
      </w:pPr>
    </w:p>
    <w:p w14:paraId="4D4C8194" w14:textId="3C44E545" w:rsidR="008F389D" w:rsidRDefault="00D4793B" w:rsidP="00F33448">
      <w:pPr>
        <w:rPr>
          <w:lang w:eastAsia="zh-CN"/>
        </w:rPr>
      </w:pPr>
      <w:r>
        <w:rPr>
          <w:lang w:eastAsia="zh-CN"/>
        </w:rPr>
        <w:t xml:space="preserve">For </w:t>
      </w:r>
      <w:proofErr w:type="spellStart"/>
      <w:r>
        <w:rPr>
          <w:lang w:eastAsia="zh-CN"/>
        </w:rPr>
        <w:t>RedCap</w:t>
      </w:r>
      <w:proofErr w:type="spellEnd"/>
      <w:r>
        <w:rPr>
          <w:lang w:eastAsia="zh-CN"/>
        </w:rPr>
        <w:t xml:space="preserve">, </w:t>
      </w:r>
      <w:r w:rsidR="000D542C">
        <w:rPr>
          <w:lang w:eastAsia="zh-CN"/>
        </w:rPr>
        <w:t xml:space="preserve">the only thing that need to consider is to define additional PDSCH </w:t>
      </w:r>
      <w:r w:rsidR="000D542C" w:rsidRPr="000D542C">
        <w:rPr>
          <w:lang w:eastAsia="zh-CN"/>
        </w:rPr>
        <w:t>requirements</w:t>
      </w:r>
      <w:r w:rsidR="000D542C">
        <w:rPr>
          <w:lang w:eastAsia="zh-CN"/>
        </w:rPr>
        <w:t xml:space="preserve"> </w:t>
      </w:r>
      <w:r w:rsidR="000D542C" w:rsidRPr="000D542C">
        <w:rPr>
          <w:lang w:eastAsia="zh-CN"/>
        </w:rPr>
        <w:t>in TS 38.101-5</w:t>
      </w:r>
      <w:r w:rsidR="000D542C">
        <w:rPr>
          <w:lang w:eastAsia="zh-CN"/>
        </w:rPr>
        <w:t xml:space="preserve"> for </w:t>
      </w:r>
      <w:proofErr w:type="spellStart"/>
      <w:r w:rsidR="000D542C" w:rsidRPr="000D542C">
        <w:rPr>
          <w:lang w:eastAsia="zh-CN"/>
        </w:rPr>
        <w:t>RedCap</w:t>
      </w:r>
      <w:proofErr w:type="spellEnd"/>
      <w:r w:rsidR="000D542C" w:rsidRPr="000D542C">
        <w:rPr>
          <w:lang w:eastAsia="zh-CN"/>
        </w:rPr>
        <w:t xml:space="preserve"> UE</w:t>
      </w:r>
      <w:r w:rsidR="000D542C">
        <w:rPr>
          <w:lang w:eastAsia="zh-CN"/>
        </w:rPr>
        <w:t>s</w:t>
      </w:r>
      <w:r>
        <w:rPr>
          <w:lang w:eastAsia="zh-CN"/>
        </w:rPr>
        <w:t xml:space="preserve"> with 1Rx, because there are o</w:t>
      </w:r>
      <w:r w:rsidR="000D542C">
        <w:rPr>
          <w:lang w:eastAsia="zh-CN"/>
        </w:rPr>
        <w:t xml:space="preserve">nly 2Rx requirements </w:t>
      </w:r>
      <w:r>
        <w:rPr>
          <w:lang w:eastAsia="zh-CN"/>
        </w:rPr>
        <w:t xml:space="preserve">defined </w:t>
      </w:r>
      <w:r w:rsidR="000D542C">
        <w:rPr>
          <w:lang w:eastAsia="zh-CN"/>
        </w:rPr>
        <w:t xml:space="preserve">in current TS </w:t>
      </w:r>
      <w:r w:rsidR="000D542C" w:rsidRPr="000D542C">
        <w:rPr>
          <w:lang w:eastAsia="zh-CN"/>
        </w:rPr>
        <w:t>38.101-5</w:t>
      </w:r>
      <w:r>
        <w:rPr>
          <w:lang w:eastAsia="zh-CN"/>
        </w:rPr>
        <w:t>.</w:t>
      </w:r>
      <w:r w:rsidR="000D542C">
        <w:rPr>
          <w:lang w:eastAsia="zh-CN"/>
        </w:rPr>
        <w:t xml:space="preserve"> </w:t>
      </w:r>
      <w:r>
        <w:rPr>
          <w:lang w:eastAsia="zh-CN"/>
        </w:rPr>
        <w:t>A similar</w:t>
      </w:r>
      <w:r w:rsidR="000D542C">
        <w:rPr>
          <w:lang w:eastAsia="zh-CN"/>
        </w:rPr>
        <w:t xml:space="preserve"> set of requirements should be defined by reusing the existing PDSCH cases</w:t>
      </w:r>
      <w:r>
        <w:rPr>
          <w:lang w:eastAsia="zh-CN"/>
        </w:rPr>
        <w:t xml:space="preserve"> configuration</w:t>
      </w:r>
      <w:r w:rsidR="000D542C">
        <w:rPr>
          <w:lang w:eastAsia="zh-CN"/>
        </w:rPr>
        <w:t xml:space="preserve"> but chang</w:t>
      </w:r>
      <w:r>
        <w:rPr>
          <w:lang w:eastAsia="zh-CN"/>
        </w:rPr>
        <w:t>ing</w:t>
      </w:r>
      <w:r w:rsidR="000D542C">
        <w:rPr>
          <w:lang w:eastAsia="zh-CN"/>
        </w:rPr>
        <w:t xml:space="preserve"> the number of Rx from 2 to 1. In addition, the new r</w:t>
      </w:r>
      <w:r w:rsidR="000D542C" w:rsidRPr="000D542C">
        <w:rPr>
          <w:lang w:eastAsia="zh-CN"/>
        </w:rPr>
        <w:t>eference channel</w:t>
      </w:r>
      <w:r w:rsidR="001F7429">
        <w:rPr>
          <w:lang w:eastAsia="zh-CN"/>
        </w:rPr>
        <w:t xml:space="preserve"> should be defined for HD-FDD </w:t>
      </w:r>
      <w:r w:rsidR="001F7429" w:rsidRPr="001F7429">
        <w:rPr>
          <w:lang w:eastAsia="zh-CN"/>
        </w:rPr>
        <w:t>(e)</w:t>
      </w:r>
      <w:proofErr w:type="spellStart"/>
      <w:r w:rsidR="001F7429" w:rsidRPr="001F7429">
        <w:rPr>
          <w:lang w:eastAsia="zh-CN"/>
        </w:rPr>
        <w:t>RedCap</w:t>
      </w:r>
      <w:proofErr w:type="spellEnd"/>
      <w:r w:rsidR="001F7429">
        <w:rPr>
          <w:lang w:eastAsia="zh-CN"/>
        </w:rPr>
        <w:t xml:space="preserve"> requirements</w:t>
      </w:r>
      <w:r w:rsidR="008F389D">
        <w:rPr>
          <w:lang w:eastAsia="zh-CN"/>
        </w:rPr>
        <w:t xml:space="preserve"> but with the same requirements as for FDD (e)</w:t>
      </w:r>
      <w:proofErr w:type="spellStart"/>
      <w:r w:rsidR="008F389D">
        <w:rPr>
          <w:lang w:eastAsia="zh-CN"/>
        </w:rPr>
        <w:t>RedCap</w:t>
      </w:r>
      <w:proofErr w:type="spellEnd"/>
      <w:r w:rsidR="008F389D">
        <w:rPr>
          <w:lang w:eastAsia="zh-CN"/>
        </w:rPr>
        <w:t xml:space="preserve"> as did for TN (e)</w:t>
      </w:r>
      <w:proofErr w:type="spellStart"/>
      <w:r w:rsidR="008F389D">
        <w:rPr>
          <w:lang w:eastAsia="zh-CN"/>
        </w:rPr>
        <w:t>RedCap</w:t>
      </w:r>
      <w:proofErr w:type="spellEnd"/>
      <w:r w:rsidR="001F7429">
        <w:rPr>
          <w:lang w:eastAsia="zh-CN"/>
        </w:rPr>
        <w:t>.</w:t>
      </w:r>
      <w:r>
        <w:rPr>
          <w:lang w:eastAsia="zh-CN"/>
        </w:rPr>
        <w:t xml:space="preserve"> </w:t>
      </w:r>
    </w:p>
    <w:p w14:paraId="6DB1D35F" w14:textId="4AE9DC31" w:rsidR="000D542C" w:rsidRDefault="00D4793B" w:rsidP="00F33448">
      <w:pPr>
        <w:rPr>
          <w:lang w:eastAsia="zh-CN"/>
        </w:rPr>
      </w:pPr>
      <w:r>
        <w:rPr>
          <w:lang w:eastAsia="zh-CN"/>
        </w:rPr>
        <w:t xml:space="preserve">For </w:t>
      </w:r>
      <w:proofErr w:type="spellStart"/>
      <w:r>
        <w:rPr>
          <w:lang w:eastAsia="zh-CN"/>
        </w:rPr>
        <w:t>eRedCap</w:t>
      </w:r>
      <w:proofErr w:type="spellEnd"/>
      <w:r w:rsidR="008F389D">
        <w:rPr>
          <w:lang w:eastAsia="zh-CN"/>
        </w:rPr>
        <w:t>, new performance requirements for</w:t>
      </w:r>
      <w:r>
        <w:rPr>
          <w:lang w:eastAsia="zh-CN"/>
        </w:rPr>
        <w:t xml:space="preserve"> reduced baseband</w:t>
      </w:r>
      <w:r w:rsidR="008F389D">
        <w:rPr>
          <w:lang w:eastAsia="zh-CN"/>
        </w:rPr>
        <w:t xml:space="preserve"> need to be introduced. Whether the existing 2Rx NTN </w:t>
      </w:r>
      <w:r w:rsidR="008F389D">
        <w:rPr>
          <w:rFonts w:hint="eastAsia"/>
          <w:lang w:eastAsia="zh-CN"/>
        </w:rPr>
        <w:t>performance</w:t>
      </w:r>
      <w:r w:rsidR="008F389D">
        <w:rPr>
          <w:lang w:eastAsia="zh-CN"/>
        </w:rPr>
        <w:t xml:space="preserve"> requirements can be reused for </w:t>
      </w:r>
      <w:proofErr w:type="spellStart"/>
      <w:r w:rsidR="008F389D">
        <w:rPr>
          <w:lang w:eastAsia="zh-CN"/>
        </w:rPr>
        <w:t>eRedCap</w:t>
      </w:r>
      <w:proofErr w:type="spellEnd"/>
      <w:r w:rsidR="008F389D">
        <w:rPr>
          <w:lang w:eastAsia="zh-CN"/>
        </w:rPr>
        <w:t xml:space="preserve"> without baseband reduced, further checking is needed with consideration the supported max data rate. </w:t>
      </w:r>
    </w:p>
    <w:p w14:paraId="6243FDF0" w14:textId="0D5B616D" w:rsidR="001F7429" w:rsidRPr="001F7429" w:rsidRDefault="001F7429" w:rsidP="001F7429">
      <w:pPr>
        <w:keepNext/>
        <w:keepLines/>
        <w:overflowPunct w:val="0"/>
        <w:autoSpaceDE w:val="0"/>
        <w:autoSpaceDN w:val="0"/>
        <w:adjustRightInd w:val="0"/>
        <w:spacing w:before="60"/>
        <w:jc w:val="center"/>
        <w:textAlignment w:val="baseline"/>
        <w:rPr>
          <w:rFonts w:ascii="Arial" w:hAnsi="Arial"/>
          <w:b/>
          <w:lang w:eastAsia="zh-CN"/>
        </w:rPr>
      </w:pPr>
      <w:r w:rsidRPr="001F7429">
        <w:rPr>
          <w:rFonts w:ascii="Arial" w:hAnsi="Arial"/>
          <w:b/>
          <w:lang w:eastAsia="zh-CN"/>
        </w:rPr>
        <w:lastRenderedPageBreak/>
        <w:t xml:space="preserve">Table </w:t>
      </w:r>
      <w:r>
        <w:rPr>
          <w:rFonts w:ascii="Arial" w:hAnsi="Arial"/>
          <w:b/>
          <w:lang w:eastAsia="zh-CN"/>
        </w:rPr>
        <w:t>2</w:t>
      </w:r>
      <w:r w:rsidRPr="001F7429">
        <w:rPr>
          <w:rFonts w:ascii="Arial" w:hAnsi="Arial"/>
          <w:b/>
          <w:lang w:eastAsia="zh-CN"/>
        </w:rPr>
        <w:t>-</w:t>
      </w:r>
      <w:r>
        <w:rPr>
          <w:rFonts w:ascii="Arial" w:hAnsi="Arial"/>
          <w:b/>
          <w:lang w:eastAsia="zh-CN"/>
        </w:rPr>
        <w:t>1</w:t>
      </w:r>
      <w:r w:rsidRPr="001F7429">
        <w:rPr>
          <w:rFonts w:ascii="Arial" w:hAnsi="Arial"/>
          <w:b/>
          <w:lang w:eastAsia="zh-CN"/>
        </w:rPr>
        <w:t>: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6"/>
        <w:gridCol w:w="1810"/>
        <w:gridCol w:w="1232"/>
        <w:gridCol w:w="1279"/>
        <w:gridCol w:w="1500"/>
        <w:gridCol w:w="1696"/>
        <w:gridCol w:w="1601"/>
        <w:gridCol w:w="726"/>
      </w:tblGrid>
      <w:tr w:rsidR="001F7429" w:rsidRPr="001F7429" w14:paraId="6F588732" w14:textId="77777777" w:rsidTr="001F7429">
        <w:trPr>
          <w:trHeight w:val="375"/>
          <w:jc w:val="center"/>
        </w:trPr>
        <w:tc>
          <w:tcPr>
            <w:tcW w:w="334" w:type="pct"/>
            <w:tcBorders>
              <w:bottom w:val="nil"/>
            </w:tcBorders>
            <w:shd w:val="clear" w:color="auto" w:fill="FFFFFF"/>
          </w:tcPr>
          <w:p w14:paraId="6376C8FD"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Test num.</w:t>
            </w:r>
          </w:p>
        </w:tc>
        <w:tc>
          <w:tcPr>
            <w:tcW w:w="858" w:type="pct"/>
            <w:tcBorders>
              <w:bottom w:val="nil"/>
            </w:tcBorders>
            <w:shd w:val="clear" w:color="auto" w:fill="FFFFFF"/>
          </w:tcPr>
          <w:p w14:paraId="5F097809"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Reference</w:t>
            </w:r>
            <w:r w:rsidRPr="001F7429">
              <w:rPr>
                <w:rFonts w:ascii="Arial" w:hAnsi="Arial" w:hint="eastAsia"/>
                <w:b/>
                <w:sz w:val="18"/>
                <w:lang w:eastAsia="zh-CN"/>
              </w:rPr>
              <w:t xml:space="preserve"> </w:t>
            </w:r>
            <w:r w:rsidRPr="001F7429">
              <w:rPr>
                <w:rFonts w:ascii="Arial" w:hAnsi="Arial"/>
                <w:b/>
                <w:sz w:val="18"/>
                <w:lang w:eastAsia="zh-CN"/>
              </w:rPr>
              <w:t>channel</w:t>
            </w:r>
          </w:p>
        </w:tc>
        <w:tc>
          <w:tcPr>
            <w:tcW w:w="584" w:type="pct"/>
            <w:tcBorders>
              <w:bottom w:val="nil"/>
            </w:tcBorders>
            <w:shd w:val="clear" w:color="auto" w:fill="FFFFFF"/>
          </w:tcPr>
          <w:p w14:paraId="094EE137"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Bandwidth</w:t>
            </w:r>
            <w:r w:rsidRPr="001F7429">
              <w:rPr>
                <w:rFonts w:ascii="Arial" w:hAnsi="Arial" w:hint="eastAsia"/>
                <w:b/>
                <w:sz w:val="18"/>
                <w:lang w:eastAsia="zh-CN"/>
              </w:rPr>
              <w:t xml:space="preserve"> </w:t>
            </w:r>
            <w:r w:rsidRPr="001F7429">
              <w:rPr>
                <w:rFonts w:ascii="Arial" w:hAnsi="Arial"/>
                <w:b/>
                <w:sz w:val="18"/>
                <w:lang w:eastAsia="zh-CN"/>
              </w:rPr>
              <w:t>(MHz) / Subcarrier spacing</w:t>
            </w:r>
            <w:r w:rsidRPr="001F7429">
              <w:rPr>
                <w:rFonts w:ascii="Arial" w:hAnsi="Arial" w:hint="eastAsia"/>
                <w:b/>
                <w:sz w:val="18"/>
                <w:lang w:eastAsia="zh-CN"/>
              </w:rPr>
              <w:t xml:space="preserve"> </w:t>
            </w:r>
            <w:r w:rsidRPr="001F7429">
              <w:rPr>
                <w:rFonts w:ascii="Arial" w:hAnsi="Arial"/>
                <w:b/>
                <w:sz w:val="18"/>
                <w:lang w:eastAsia="zh-CN"/>
              </w:rPr>
              <w:t>(kHz)</w:t>
            </w:r>
          </w:p>
        </w:tc>
        <w:tc>
          <w:tcPr>
            <w:tcW w:w="606" w:type="pct"/>
            <w:tcBorders>
              <w:bottom w:val="nil"/>
            </w:tcBorders>
            <w:shd w:val="clear" w:color="auto" w:fill="FFFFFF"/>
          </w:tcPr>
          <w:p w14:paraId="3222BCB2"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Modulation format</w:t>
            </w:r>
            <w:r w:rsidRPr="001F7429">
              <w:rPr>
                <w:rFonts w:ascii="Arial" w:hAnsi="Arial" w:hint="eastAsia"/>
                <w:b/>
                <w:sz w:val="18"/>
                <w:lang w:eastAsia="zh-CN"/>
              </w:rPr>
              <w:t xml:space="preserve"> </w:t>
            </w:r>
            <w:r w:rsidRPr="001F7429">
              <w:rPr>
                <w:rFonts w:ascii="Arial" w:hAnsi="Arial"/>
                <w:b/>
                <w:sz w:val="18"/>
                <w:lang w:eastAsia="zh-CN"/>
              </w:rPr>
              <w:t>and code rate</w:t>
            </w:r>
          </w:p>
        </w:tc>
        <w:tc>
          <w:tcPr>
            <w:tcW w:w="711" w:type="pct"/>
            <w:tcBorders>
              <w:bottom w:val="nil"/>
            </w:tcBorders>
            <w:shd w:val="clear" w:color="auto" w:fill="FFFFFF"/>
          </w:tcPr>
          <w:p w14:paraId="79ADB79A"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Propagation condition</w:t>
            </w:r>
          </w:p>
        </w:tc>
        <w:tc>
          <w:tcPr>
            <w:tcW w:w="804" w:type="pct"/>
            <w:tcBorders>
              <w:bottom w:val="nil"/>
            </w:tcBorders>
            <w:shd w:val="clear" w:color="auto" w:fill="FFFFFF"/>
          </w:tcPr>
          <w:p w14:paraId="18697EF7"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Correlation matrix and antenna configuration</w:t>
            </w:r>
          </w:p>
        </w:tc>
        <w:tc>
          <w:tcPr>
            <w:tcW w:w="1104" w:type="pct"/>
            <w:gridSpan w:val="2"/>
            <w:shd w:val="clear" w:color="auto" w:fill="FFFFFF"/>
          </w:tcPr>
          <w:p w14:paraId="2238927D"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Reference value</w:t>
            </w:r>
          </w:p>
        </w:tc>
      </w:tr>
      <w:tr w:rsidR="001F7429" w:rsidRPr="001F7429" w14:paraId="07265F3F" w14:textId="77777777" w:rsidTr="001F7429">
        <w:trPr>
          <w:trHeight w:val="375"/>
          <w:jc w:val="center"/>
        </w:trPr>
        <w:tc>
          <w:tcPr>
            <w:tcW w:w="334" w:type="pct"/>
            <w:tcBorders>
              <w:top w:val="nil"/>
            </w:tcBorders>
            <w:shd w:val="clear" w:color="auto" w:fill="FFFFFF"/>
          </w:tcPr>
          <w:p w14:paraId="32477570"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tcBorders>
              <w:top w:val="nil"/>
            </w:tcBorders>
            <w:shd w:val="clear" w:color="auto" w:fill="FFFFFF"/>
          </w:tcPr>
          <w:p w14:paraId="7A710F4B"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p>
        </w:tc>
        <w:tc>
          <w:tcPr>
            <w:tcW w:w="584" w:type="pct"/>
            <w:tcBorders>
              <w:top w:val="nil"/>
            </w:tcBorders>
            <w:shd w:val="clear" w:color="auto" w:fill="FFFFFF"/>
          </w:tcPr>
          <w:p w14:paraId="5E64A6A2"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tcBorders>
              <w:top w:val="nil"/>
            </w:tcBorders>
            <w:shd w:val="clear" w:color="auto" w:fill="FFFFFF"/>
          </w:tcPr>
          <w:p w14:paraId="56596E64"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tcBorders>
              <w:top w:val="nil"/>
            </w:tcBorders>
            <w:shd w:val="clear" w:color="auto" w:fill="FFFFFF"/>
          </w:tcPr>
          <w:p w14:paraId="3FECCE7E"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tcBorders>
              <w:top w:val="nil"/>
            </w:tcBorders>
            <w:shd w:val="clear" w:color="auto" w:fill="FFFFFF"/>
          </w:tcPr>
          <w:p w14:paraId="7ABA7B48"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tcPr>
          <w:p w14:paraId="5F186C3F"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Fraction of maximum throughput (%)</w:t>
            </w:r>
          </w:p>
        </w:tc>
        <w:tc>
          <w:tcPr>
            <w:tcW w:w="345" w:type="pct"/>
            <w:shd w:val="clear" w:color="auto" w:fill="FFFFFF"/>
          </w:tcPr>
          <w:p w14:paraId="46FD86BA"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b/>
                <w:sz w:val="18"/>
                <w:lang w:eastAsia="zh-CN"/>
              </w:rPr>
            </w:pPr>
            <w:r w:rsidRPr="001F7429">
              <w:rPr>
                <w:rFonts w:ascii="Arial" w:hAnsi="Arial"/>
                <w:b/>
                <w:sz w:val="18"/>
                <w:lang w:eastAsia="zh-CN"/>
              </w:rPr>
              <w:t>SNR (dB)</w:t>
            </w:r>
          </w:p>
        </w:tc>
      </w:tr>
      <w:tr w:rsidR="001F7429" w:rsidRPr="001F7429" w14:paraId="15F21B21" w14:textId="77777777" w:rsidTr="001F7429">
        <w:trPr>
          <w:trHeight w:val="189"/>
          <w:jc w:val="center"/>
        </w:trPr>
        <w:tc>
          <w:tcPr>
            <w:tcW w:w="334" w:type="pct"/>
            <w:shd w:val="clear" w:color="auto" w:fill="FFFFFF"/>
          </w:tcPr>
          <w:p w14:paraId="6620A6E9"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1-1</w:t>
            </w:r>
          </w:p>
        </w:tc>
        <w:tc>
          <w:tcPr>
            <w:tcW w:w="858" w:type="pct"/>
            <w:shd w:val="clear" w:color="auto" w:fill="FFFFFF"/>
          </w:tcPr>
          <w:p w14:paraId="0DB02D3D" w14:textId="59005742"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TBD</w:t>
            </w:r>
          </w:p>
        </w:tc>
        <w:tc>
          <w:tcPr>
            <w:tcW w:w="584" w:type="pct"/>
            <w:shd w:val="clear" w:color="auto" w:fill="FFFFFF"/>
          </w:tcPr>
          <w:p w14:paraId="3AC4228D"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10 / 15</w:t>
            </w:r>
          </w:p>
        </w:tc>
        <w:tc>
          <w:tcPr>
            <w:tcW w:w="606" w:type="pct"/>
            <w:shd w:val="clear" w:color="auto" w:fill="FFFFFF"/>
          </w:tcPr>
          <w:p w14:paraId="116E4734"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QPSK, 0.30</w:t>
            </w:r>
          </w:p>
        </w:tc>
        <w:tc>
          <w:tcPr>
            <w:tcW w:w="711" w:type="pct"/>
            <w:shd w:val="clear" w:color="auto" w:fill="FFFFFF"/>
          </w:tcPr>
          <w:p w14:paraId="4EAE5069"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NTN-TDLA100-200</w:t>
            </w:r>
          </w:p>
        </w:tc>
        <w:tc>
          <w:tcPr>
            <w:tcW w:w="804" w:type="pct"/>
            <w:shd w:val="clear" w:color="auto" w:fill="FFFFFF"/>
          </w:tcPr>
          <w:p w14:paraId="111EE290" w14:textId="77777777"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hint="eastAsia"/>
                <w:sz w:val="18"/>
                <w:lang w:eastAsia="zh-CN"/>
              </w:rPr>
              <w:t>1x</w:t>
            </w:r>
            <w:r w:rsidRPr="000222EA">
              <w:rPr>
                <w:rFonts w:ascii="Arial" w:hAnsi="Arial"/>
                <w:sz w:val="18"/>
                <w:lang w:eastAsia="zh-CN"/>
              </w:rPr>
              <w:t>1</w:t>
            </w:r>
          </w:p>
          <w:p w14:paraId="104FA0AB" w14:textId="68E66528"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1x2, ULA Low</w:t>
            </w:r>
          </w:p>
        </w:tc>
        <w:tc>
          <w:tcPr>
            <w:tcW w:w="759" w:type="pct"/>
            <w:shd w:val="clear" w:color="auto" w:fill="FFFFFF"/>
          </w:tcPr>
          <w:p w14:paraId="59D36F66"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70</w:t>
            </w:r>
          </w:p>
        </w:tc>
        <w:tc>
          <w:tcPr>
            <w:tcW w:w="345" w:type="pct"/>
            <w:shd w:val="clear" w:color="auto" w:fill="auto"/>
          </w:tcPr>
          <w:p w14:paraId="1F658D80"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0.3</w:t>
            </w:r>
          </w:p>
        </w:tc>
      </w:tr>
      <w:tr w:rsidR="001F7429" w:rsidRPr="001F7429" w14:paraId="7B4F89C5" w14:textId="77777777" w:rsidTr="001F7429">
        <w:trPr>
          <w:trHeight w:val="189"/>
          <w:jc w:val="center"/>
        </w:trPr>
        <w:tc>
          <w:tcPr>
            <w:tcW w:w="334" w:type="pct"/>
            <w:shd w:val="clear" w:color="auto" w:fill="FFFFFF"/>
          </w:tcPr>
          <w:p w14:paraId="04077A3D"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w:t>
            </w:r>
            <w:r w:rsidRPr="001F7429">
              <w:rPr>
                <w:rFonts w:ascii="Arial" w:hAnsi="Arial" w:hint="eastAsia"/>
                <w:sz w:val="18"/>
                <w:lang w:eastAsia="zh-CN"/>
              </w:rPr>
              <w:t>2</w:t>
            </w:r>
          </w:p>
        </w:tc>
        <w:tc>
          <w:tcPr>
            <w:tcW w:w="858" w:type="pct"/>
            <w:shd w:val="clear" w:color="auto" w:fill="FFFFFF"/>
          </w:tcPr>
          <w:p w14:paraId="2DE920F2" w14:textId="4C635C44"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TBD</w:t>
            </w:r>
          </w:p>
        </w:tc>
        <w:tc>
          <w:tcPr>
            <w:tcW w:w="584" w:type="pct"/>
            <w:shd w:val="clear" w:color="auto" w:fill="FFFFFF"/>
          </w:tcPr>
          <w:p w14:paraId="63A1B2E3"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10 / 15</w:t>
            </w:r>
          </w:p>
        </w:tc>
        <w:tc>
          <w:tcPr>
            <w:tcW w:w="606" w:type="pct"/>
            <w:shd w:val="clear" w:color="auto" w:fill="FFFFFF"/>
          </w:tcPr>
          <w:p w14:paraId="4D589989"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16QAM, 0.48</w:t>
            </w:r>
          </w:p>
        </w:tc>
        <w:tc>
          <w:tcPr>
            <w:tcW w:w="711" w:type="pct"/>
            <w:shd w:val="clear" w:color="auto" w:fill="FFFFFF"/>
          </w:tcPr>
          <w:p w14:paraId="5B070C43"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NTN-TDLC5-200</w:t>
            </w:r>
          </w:p>
        </w:tc>
        <w:tc>
          <w:tcPr>
            <w:tcW w:w="804" w:type="pct"/>
            <w:shd w:val="clear" w:color="auto" w:fill="FFFFFF"/>
          </w:tcPr>
          <w:p w14:paraId="1300138F" w14:textId="77777777"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hint="eastAsia"/>
                <w:sz w:val="18"/>
                <w:lang w:eastAsia="zh-CN"/>
              </w:rPr>
              <w:t>1x</w:t>
            </w:r>
            <w:r w:rsidRPr="000222EA">
              <w:rPr>
                <w:rFonts w:ascii="Arial" w:hAnsi="Arial"/>
                <w:sz w:val="18"/>
                <w:lang w:eastAsia="zh-CN"/>
              </w:rPr>
              <w:t>1</w:t>
            </w:r>
          </w:p>
          <w:p w14:paraId="386E4AF8" w14:textId="04FB0DAD"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1x2, ULA Low</w:t>
            </w:r>
          </w:p>
        </w:tc>
        <w:tc>
          <w:tcPr>
            <w:tcW w:w="759" w:type="pct"/>
            <w:shd w:val="clear" w:color="auto" w:fill="FFFFFF"/>
          </w:tcPr>
          <w:p w14:paraId="7A3EE3C2"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70</w:t>
            </w:r>
          </w:p>
        </w:tc>
        <w:tc>
          <w:tcPr>
            <w:tcW w:w="345" w:type="pct"/>
            <w:shd w:val="clear" w:color="auto" w:fill="auto"/>
          </w:tcPr>
          <w:p w14:paraId="59B4773F"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7.6</w:t>
            </w:r>
          </w:p>
        </w:tc>
      </w:tr>
      <w:tr w:rsidR="001F7429" w:rsidRPr="001F7429" w14:paraId="119F3E0F" w14:textId="77777777" w:rsidTr="001F7429">
        <w:trPr>
          <w:trHeight w:val="189"/>
          <w:jc w:val="center"/>
        </w:trPr>
        <w:tc>
          <w:tcPr>
            <w:tcW w:w="334" w:type="pct"/>
            <w:shd w:val="clear" w:color="auto" w:fill="FFFFFF"/>
          </w:tcPr>
          <w:p w14:paraId="35653B42"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w:t>
            </w:r>
            <w:r w:rsidRPr="001F7429">
              <w:rPr>
                <w:rFonts w:ascii="Arial" w:hAnsi="Arial" w:hint="eastAsia"/>
                <w:sz w:val="18"/>
                <w:lang w:eastAsia="zh-CN"/>
              </w:rPr>
              <w:t>3</w:t>
            </w:r>
          </w:p>
        </w:tc>
        <w:tc>
          <w:tcPr>
            <w:tcW w:w="858" w:type="pct"/>
            <w:shd w:val="clear" w:color="auto" w:fill="FFFFFF"/>
          </w:tcPr>
          <w:p w14:paraId="079F3403" w14:textId="54B81D84"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TBD</w:t>
            </w:r>
          </w:p>
        </w:tc>
        <w:tc>
          <w:tcPr>
            <w:tcW w:w="584" w:type="pct"/>
            <w:shd w:val="clear" w:color="auto" w:fill="FFFFFF"/>
          </w:tcPr>
          <w:p w14:paraId="019B1330"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10 / 15</w:t>
            </w:r>
          </w:p>
        </w:tc>
        <w:tc>
          <w:tcPr>
            <w:tcW w:w="606" w:type="pct"/>
            <w:shd w:val="clear" w:color="auto" w:fill="FFFFFF"/>
          </w:tcPr>
          <w:p w14:paraId="353BBF7A"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QPSK, 0.30</w:t>
            </w:r>
          </w:p>
        </w:tc>
        <w:tc>
          <w:tcPr>
            <w:tcW w:w="711" w:type="pct"/>
            <w:shd w:val="clear" w:color="auto" w:fill="FFFFFF"/>
          </w:tcPr>
          <w:p w14:paraId="502D7726"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NTN-TDLC5-200</w:t>
            </w:r>
          </w:p>
        </w:tc>
        <w:tc>
          <w:tcPr>
            <w:tcW w:w="804" w:type="pct"/>
            <w:shd w:val="clear" w:color="auto" w:fill="FFFFFF"/>
          </w:tcPr>
          <w:p w14:paraId="25BA97CE" w14:textId="77777777"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hint="eastAsia"/>
                <w:sz w:val="18"/>
                <w:lang w:eastAsia="zh-CN"/>
              </w:rPr>
              <w:t>1x</w:t>
            </w:r>
            <w:r w:rsidRPr="000222EA">
              <w:rPr>
                <w:rFonts w:ascii="Arial" w:hAnsi="Arial"/>
                <w:sz w:val="18"/>
                <w:lang w:eastAsia="zh-CN"/>
              </w:rPr>
              <w:t>1</w:t>
            </w:r>
          </w:p>
          <w:p w14:paraId="7B40CB40" w14:textId="025E7BED"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1x2, ULA Low</w:t>
            </w:r>
          </w:p>
        </w:tc>
        <w:tc>
          <w:tcPr>
            <w:tcW w:w="759" w:type="pct"/>
            <w:shd w:val="clear" w:color="auto" w:fill="FFFFFF"/>
          </w:tcPr>
          <w:p w14:paraId="7FC241B2"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70</w:t>
            </w:r>
          </w:p>
        </w:tc>
        <w:tc>
          <w:tcPr>
            <w:tcW w:w="345" w:type="pct"/>
            <w:shd w:val="clear" w:color="auto" w:fill="auto"/>
          </w:tcPr>
          <w:p w14:paraId="5A5F35C9"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-0.4</w:t>
            </w:r>
          </w:p>
        </w:tc>
      </w:tr>
      <w:tr w:rsidR="001F7429" w:rsidRPr="001F7429" w14:paraId="08C0EFB9" w14:textId="77777777" w:rsidTr="001F7429">
        <w:trPr>
          <w:trHeight w:val="189"/>
          <w:jc w:val="center"/>
        </w:trPr>
        <w:tc>
          <w:tcPr>
            <w:tcW w:w="334" w:type="pct"/>
            <w:shd w:val="clear" w:color="auto" w:fill="FFFFFF"/>
          </w:tcPr>
          <w:p w14:paraId="251C775A"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1-4</w:t>
            </w:r>
          </w:p>
        </w:tc>
        <w:tc>
          <w:tcPr>
            <w:tcW w:w="858" w:type="pct"/>
            <w:shd w:val="clear" w:color="auto" w:fill="FFFFFF"/>
          </w:tcPr>
          <w:p w14:paraId="501B907C" w14:textId="6322BC92"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TBD</w:t>
            </w:r>
          </w:p>
        </w:tc>
        <w:tc>
          <w:tcPr>
            <w:tcW w:w="584" w:type="pct"/>
            <w:shd w:val="clear" w:color="auto" w:fill="FFFFFF"/>
          </w:tcPr>
          <w:p w14:paraId="4C82C840"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10 / 15</w:t>
            </w:r>
          </w:p>
        </w:tc>
        <w:tc>
          <w:tcPr>
            <w:tcW w:w="606" w:type="pct"/>
            <w:shd w:val="clear" w:color="auto" w:fill="FFFFFF"/>
          </w:tcPr>
          <w:p w14:paraId="50492BF8"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QPSK, 0.30</w:t>
            </w:r>
          </w:p>
        </w:tc>
        <w:tc>
          <w:tcPr>
            <w:tcW w:w="711" w:type="pct"/>
            <w:shd w:val="clear" w:color="auto" w:fill="FFFFFF"/>
          </w:tcPr>
          <w:p w14:paraId="2228B870"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NTN-TDLA100-200</w:t>
            </w:r>
          </w:p>
        </w:tc>
        <w:tc>
          <w:tcPr>
            <w:tcW w:w="804" w:type="pct"/>
            <w:shd w:val="clear" w:color="auto" w:fill="FFFFFF"/>
          </w:tcPr>
          <w:p w14:paraId="06FF195F" w14:textId="77777777"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hint="eastAsia"/>
                <w:sz w:val="18"/>
                <w:lang w:eastAsia="zh-CN"/>
              </w:rPr>
              <w:t>1x</w:t>
            </w:r>
            <w:r w:rsidRPr="000222EA">
              <w:rPr>
                <w:rFonts w:ascii="Arial" w:hAnsi="Arial"/>
                <w:sz w:val="18"/>
                <w:lang w:eastAsia="zh-CN"/>
              </w:rPr>
              <w:t>1</w:t>
            </w:r>
          </w:p>
          <w:p w14:paraId="0F387762" w14:textId="037D0CC9" w:rsidR="001F7429" w:rsidRPr="000222EA"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0222EA">
              <w:rPr>
                <w:rFonts w:ascii="Arial" w:hAnsi="Arial"/>
                <w:sz w:val="18"/>
                <w:lang w:eastAsia="zh-CN"/>
              </w:rPr>
              <w:t>1x2, ULA Low</w:t>
            </w:r>
          </w:p>
        </w:tc>
        <w:tc>
          <w:tcPr>
            <w:tcW w:w="759" w:type="pct"/>
            <w:shd w:val="clear" w:color="auto" w:fill="FFFFFF"/>
          </w:tcPr>
          <w:p w14:paraId="0448A427"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70</w:t>
            </w:r>
          </w:p>
        </w:tc>
        <w:tc>
          <w:tcPr>
            <w:tcW w:w="345" w:type="pct"/>
            <w:shd w:val="clear" w:color="auto" w:fill="auto"/>
          </w:tcPr>
          <w:p w14:paraId="71CE0C76" w14:textId="77777777" w:rsidR="001F7429" w:rsidRPr="001F7429" w:rsidRDefault="001F7429" w:rsidP="001F7429">
            <w:pPr>
              <w:keepNext/>
              <w:keepLines/>
              <w:overflowPunct w:val="0"/>
              <w:autoSpaceDE w:val="0"/>
              <w:autoSpaceDN w:val="0"/>
              <w:adjustRightInd w:val="0"/>
              <w:spacing w:after="0"/>
              <w:jc w:val="center"/>
              <w:textAlignment w:val="baseline"/>
              <w:rPr>
                <w:rFonts w:ascii="Arial" w:hAnsi="Arial"/>
                <w:sz w:val="18"/>
                <w:lang w:eastAsia="zh-CN"/>
              </w:rPr>
            </w:pPr>
            <w:r w:rsidRPr="001F7429">
              <w:rPr>
                <w:rFonts w:ascii="Arial" w:hAnsi="Arial"/>
                <w:sz w:val="18"/>
                <w:lang w:eastAsia="zh-CN"/>
              </w:rPr>
              <w:t>1.1</w:t>
            </w:r>
          </w:p>
        </w:tc>
      </w:tr>
      <w:tr w:rsidR="001F7429" w:rsidRPr="001F7429" w14:paraId="1CA14DA9" w14:textId="77777777" w:rsidTr="00CA7C1A">
        <w:trPr>
          <w:trHeight w:val="189"/>
          <w:jc w:val="center"/>
        </w:trPr>
        <w:tc>
          <w:tcPr>
            <w:tcW w:w="5000" w:type="pct"/>
            <w:gridSpan w:val="8"/>
            <w:shd w:val="clear" w:color="auto" w:fill="FFFFFF"/>
          </w:tcPr>
          <w:p w14:paraId="6CB95290" w14:textId="77777777" w:rsidR="001F7429" w:rsidRPr="001F7429" w:rsidRDefault="001F7429" w:rsidP="001F7429">
            <w:pPr>
              <w:keepNext/>
              <w:keepLines/>
              <w:overflowPunct w:val="0"/>
              <w:autoSpaceDE w:val="0"/>
              <w:autoSpaceDN w:val="0"/>
              <w:adjustRightInd w:val="0"/>
              <w:spacing w:after="0"/>
              <w:ind w:left="851" w:hanging="851"/>
              <w:textAlignment w:val="baseline"/>
              <w:rPr>
                <w:rFonts w:ascii="Arial" w:hAnsi="Arial"/>
                <w:sz w:val="18"/>
                <w:lang w:eastAsia="zh-CN"/>
              </w:rPr>
            </w:pPr>
            <w:r w:rsidRPr="001F7429">
              <w:rPr>
                <w:rFonts w:ascii="Arial" w:hAnsi="Arial"/>
                <w:sz w:val="18"/>
                <w:lang w:eastAsia="zh-CN"/>
              </w:rPr>
              <w:t>Note1: The Maximum throughput is based on the HARQ processes with HARQ feedback enabled.</w:t>
            </w:r>
          </w:p>
        </w:tc>
      </w:tr>
    </w:tbl>
    <w:p w14:paraId="38188E33" w14:textId="15B44F7F" w:rsidR="001F7429" w:rsidRDefault="001F7429" w:rsidP="00F33448">
      <w:pPr>
        <w:rPr>
          <w:lang w:eastAsia="zh-CN"/>
        </w:rPr>
      </w:pPr>
    </w:p>
    <w:p w14:paraId="1B57748C" w14:textId="77777777" w:rsidR="00617865" w:rsidRPr="00617865" w:rsidRDefault="00617865" w:rsidP="001F7429">
      <w:pPr>
        <w:pStyle w:val="Proposal"/>
        <w:rPr>
          <w:lang w:val="en-GB"/>
        </w:rPr>
      </w:pPr>
    </w:p>
    <w:p w14:paraId="1EB41A6F" w14:textId="62D53E2C" w:rsidR="00617865" w:rsidRPr="00617865" w:rsidRDefault="00617865" w:rsidP="00617865">
      <w:pPr>
        <w:pStyle w:val="Proposal"/>
        <w:numPr>
          <w:ilvl w:val="0"/>
          <w:numId w:val="42"/>
        </w:numPr>
        <w:rPr>
          <w:lang w:val="en-GB"/>
        </w:rPr>
      </w:pPr>
      <w:r>
        <w:t>Define a</w:t>
      </w:r>
      <w:r w:rsidR="001F7429" w:rsidRPr="001F7429">
        <w:t xml:space="preserve"> set of requirements </w:t>
      </w:r>
      <w:r>
        <w:t>for (e)</w:t>
      </w:r>
      <w:proofErr w:type="spellStart"/>
      <w:r>
        <w:t>RedCap</w:t>
      </w:r>
      <w:proofErr w:type="spellEnd"/>
      <w:r>
        <w:t xml:space="preserve"> with 1Rx with similar test configurations as</w:t>
      </w:r>
      <w:r w:rsidR="001F7429" w:rsidRPr="001F7429">
        <w:t xml:space="preserve"> the existing PDSCH cases</w:t>
      </w:r>
    </w:p>
    <w:p w14:paraId="415A77A4" w14:textId="6EC48F7F" w:rsidR="001F7429" w:rsidRDefault="00617865" w:rsidP="00617865">
      <w:pPr>
        <w:pStyle w:val="Proposal"/>
        <w:numPr>
          <w:ilvl w:val="0"/>
          <w:numId w:val="42"/>
        </w:numPr>
      </w:pPr>
      <w:r>
        <w:rPr>
          <w:lang w:val="en-GB"/>
        </w:rPr>
        <w:t>Define n</w:t>
      </w:r>
      <w:proofErr w:type="spellStart"/>
      <w:r w:rsidR="001F7429" w:rsidRPr="001F7429">
        <w:t>ew</w:t>
      </w:r>
      <w:proofErr w:type="spellEnd"/>
      <w:r w:rsidR="001F7429" w:rsidRPr="001F7429">
        <w:t xml:space="preserve"> reference channel for HD-FDD (e)</w:t>
      </w:r>
      <w:proofErr w:type="spellStart"/>
      <w:r w:rsidR="001F7429" w:rsidRPr="001F7429">
        <w:t>RedCap</w:t>
      </w:r>
      <w:proofErr w:type="spellEnd"/>
      <w:r w:rsidR="001F7429" w:rsidRPr="001F7429">
        <w:t xml:space="preserve"> </w:t>
      </w:r>
      <w:r>
        <w:t xml:space="preserve">with same performance </w:t>
      </w:r>
      <w:r w:rsidR="001F7429" w:rsidRPr="001F7429">
        <w:t>requirements</w:t>
      </w:r>
      <w:r>
        <w:t xml:space="preserve"> as for FDD</w:t>
      </w:r>
    </w:p>
    <w:p w14:paraId="5024833E" w14:textId="6778FD20" w:rsidR="00617865" w:rsidRDefault="00617865" w:rsidP="00617865">
      <w:pPr>
        <w:pStyle w:val="Proposal"/>
        <w:numPr>
          <w:ilvl w:val="0"/>
          <w:numId w:val="42"/>
        </w:numPr>
      </w:pPr>
      <w:r>
        <w:t xml:space="preserve">Define new performance requirements for </w:t>
      </w:r>
      <w:proofErr w:type="spellStart"/>
      <w:r>
        <w:t>eRedCap</w:t>
      </w:r>
      <w:proofErr w:type="spellEnd"/>
      <w:r>
        <w:t xml:space="preserve"> with reduced baseband</w:t>
      </w:r>
    </w:p>
    <w:p w14:paraId="2793906A" w14:textId="1F007F57" w:rsidR="00617865" w:rsidRPr="00617865" w:rsidRDefault="00617865" w:rsidP="00617865">
      <w:pPr>
        <w:pStyle w:val="Proposal"/>
        <w:numPr>
          <w:ilvl w:val="0"/>
          <w:numId w:val="42"/>
        </w:numPr>
        <w:rPr>
          <w:rFonts w:hint="eastAsia"/>
        </w:rPr>
      </w:pPr>
      <w:r>
        <w:rPr>
          <w:rFonts w:hint="eastAsia"/>
        </w:rPr>
        <w:t>C</w:t>
      </w:r>
      <w:r>
        <w:t xml:space="preserve">heck if the existing PDSCH requirements for 2Rx can be reused for </w:t>
      </w:r>
      <w:proofErr w:type="spellStart"/>
      <w:r>
        <w:t>eRedCap</w:t>
      </w:r>
      <w:proofErr w:type="spellEnd"/>
      <w:r>
        <w:t xml:space="preserve"> without reduced baseband</w:t>
      </w:r>
    </w:p>
    <w:p w14:paraId="4F4ABD39" w14:textId="6F2CCC52" w:rsidR="001616E8" w:rsidRPr="001B33CB" w:rsidRDefault="00E24AD9" w:rsidP="001616E8">
      <w:pPr>
        <w:pStyle w:val="1"/>
        <w:rPr>
          <w:lang w:val="en-US" w:eastAsia="zh-CN"/>
        </w:rPr>
      </w:pPr>
      <w:r>
        <w:rPr>
          <w:lang w:val="en-US" w:eastAsia="zh-CN"/>
        </w:rPr>
        <w:t>Proposals</w:t>
      </w:r>
    </w:p>
    <w:p w14:paraId="014A150B" w14:textId="61BADFE9"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on </w:t>
      </w:r>
      <w:r w:rsidR="009330A8" w:rsidRPr="009330A8">
        <w:rPr>
          <w:lang w:val="en-US" w:eastAsia="zh-CN"/>
        </w:rPr>
        <w:t>NR NTN Phase 3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2A0122C6" w14:textId="77777777" w:rsidR="0081492E" w:rsidRDefault="0081492E" w:rsidP="0081492E">
      <w:pPr>
        <w:pStyle w:val="Proposal"/>
        <w:numPr>
          <w:ilvl w:val="0"/>
          <w:numId w:val="41"/>
        </w:numPr>
      </w:pPr>
      <w:r>
        <w:rPr>
          <w:rFonts w:hint="eastAsia"/>
        </w:rPr>
        <w:t>D</w:t>
      </w:r>
      <w:r>
        <w:t xml:space="preserve">o not </w:t>
      </w:r>
      <w:r w:rsidRPr="00D61605">
        <w:t>define requirements for</w:t>
      </w:r>
      <w:r>
        <w:t xml:space="preserve"> d</w:t>
      </w:r>
      <w:r w:rsidRPr="00D61605">
        <w:t>ownlink coverage enhancements</w:t>
      </w:r>
      <w:r>
        <w:t>.</w:t>
      </w:r>
    </w:p>
    <w:p w14:paraId="089FDF8C" w14:textId="7D14E937" w:rsidR="0081492E" w:rsidRPr="00121A2C" w:rsidRDefault="0081492E" w:rsidP="0081492E">
      <w:pPr>
        <w:pStyle w:val="Proposal"/>
      </w:pPr>
      <w:r>
        <w:t>D</w:t>
      </w:r>
      <w:r w:rsidRPr="00E6769A">
        <w:t xml:space="preserve">efine one </w:t>
      </w:r>
      <w:r w:rsidR="00E54681">
        <w:t xml:space="preserve">performance </w:t>
      </w:r>
      <w:r w:rsidRPr="00E6769A">
        <w:t>requirement with inter-slot OCC length 2</w:t>
      </w:r>
      <w:r>
        <w:t>.</w:t>
      </w:r>
    </w:p>
    <w:p w14:paraId="11FEAE19" w14:textId="77777777" w:rsidR="004D64F4" w:rsidRPr="004D64F4" w:rsidRDefault="004D64F4" w:rsidP="004D64F4">
      <w:pPr>
        <w:pStyle w:val="Proposal"/>
        <w:rPr>
          <w:lang w:val="en-GB"/>
        </w:rPr>
      </w:pPr>
      <w:bookmarkStart w:id="0" w:name="_GoBack"/>
      <w:bookmarkEnd w:id="0"/>
    </w:p>
    <w:p w14:paraId="5D811ACB" w14:textId="2333B6F6" w:rsidR="004D64F4" w:rsidRPr="00617865" w:rsidRDefault="004D64F4" w:rsidP="004D64F4">
      <w:pPr>
        <w:pStyle w:val="Proposal"/>
        <w:numPr>
          <w:ilvl w:val="0"/>
          <w:numId w:val="44"/>
        </w:numPr>
        <w:rPr>
          <w:lang w:val="en-GB"/>
        </w:rPr>
      </w:pPr>
      <w:r>
        <w:t>Define a</w:t>
      </w:r>
      <w:r w:rsidRPr="001F7429">
        <w:t xml:space="preserve"> set of requirements </w:t>
      </w:r>
      <w:r>
        <w:t>for (e)</w:t>
      </w:r>
      <w:proofErr w:type="spellStart"/>
      <w:r>
        <w:t>RedCap</w:t>
      </w:r>
      <w:proofErr w:type="spellEnd"/>
      <w:r>
        <w:t xml:space="preserve"> with 1Rx with similar test configurations as</w:t>
      </w:r>
      <w:r w:rsidRPr="001F7429">
        <w:t xml:space="preserve"> the existing PDSCH cases</w:t>
      </w:r>
    </w:p>
    <w:p w14:paraId="3CEDD3AF" w14:textId="77777777" w:rsidR="004D64F4" w:rsidRDefault="004D64F4" w:rsidP="004D64F4">
      <w:pPr>
        <w:pStyle w:val="Proposal"/>
        <w:numPr>
          <w:ilvl w:val="0"/>
          <w:numId w:val="44"/>
        </w:numPr>
      </w:pPr>
      <w:r>
        <w:rPr>
          <w:lang w:val="en-GB"/>
        </w:rPr>
        <w:t>Define n</w:t>
      </w:r>
      <w:proofErr w:type="spellStart"/>
      <w:r w:rsidRPr="001F7429">
        <w:t>ew</w:t>
      </w:r>
      <w:proofErr w:type="spellEnd"/>
      <w:r w:rsidRPr="001F7429">
        <w:t xml:space="preserve"> reference channel for HD-FDD (e)</w:t>
      </w:r>
      <w:proofErr w:type="spellStart"/>
      <w:r w:rsidRPr="001F7429">
        <w:t>RedCap</w:t>
      </w:r>
      <w:proofErr w:type="spellEnd"/>
      <w:r w:rsidRPr="001F7429">
        <w:t xml:space="preserve"> </w:t>
      </w:r>
      <w:r>
        <w:t xml:space="preserve">with same performance </w:t>
      </w:r>
      <w:r w:rsidRPr="001F7429">
        <w:t>requirements</w:t>
      </w:r>
      <w:r>
        <w:t xml:space="preserve"> as for FDD</w:t>
      </w:r>
    </w:p>
    <w:p w14:paraId="0ADEB6AC" w14:textId="77777777" w:rsidR="004D64F4" w:rsidRDefault="004D64F4" w:rsidP="004D64F4">
      <w:pPr>
        <w:pStyle w:val="Proposal"/>
        <w:numPr>
          <w:ilvl w:val="0"/>
          <w:numId w:val="44"/>
        </w:numPr>
      </w:pPr>
      <w:r>
        <w:t xml:space="preserve">Define new performance requirements for </w:t>
      </w:r>
      <w:proofErr w:type="spellStart"/>
      <w:r>
        <w:t>eRedCap</w:t>
      </w:r>
      <w:proofErr w:type="spellEnd"/>
      <w:r>
        <w:t xml:space="preserve"> with reduced baseband</w:t>
      </w:r>
    </w:p>
    <w:p w14:paraId="1D128CA6" w14:textId="77777777" w:rsidR="004D64F4" w:rsidRPr="00617865" w:rsidRDefault="004D64F4" w:rsidP="004D64F4">
      <w:pPr>
        <w:pStyle w:val="Proposal"/>
        <w:numPr>
          <w:ilvl w:val="0"/>
          <w:numId w:val="44"/>
        </w:numPr>
        <w:rPr>
          <w:rFonts w:hint="eastAsia"/>
        </w:rPr>
      </w:pPr>
      <w:r>
        <w:rPr>
          <w:rFonts w:hint="eastAsia"/>
        </w:rPr>
        <w:t>C</w:t>
      </w:r>
      <w:r>
        <w:t xml:space="preserve">heck if the existing PDSCH requirements for 2Rx can be reused for </w:t>
      </w:r>
      <w:proofErr w:type="spellStart"/>
      <w:r>
        <w:t>eRedCap</w:t>
      </w:r>
      <w:proofErr w:type="spellEnd"/>
      <w:r>
        <w:t xml:space="preserve"> without reduced baseband</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54CFBCB8" w:rsidR="0019273B" w:rsidRDefault="00155662" w:rsidP="006E1529">
      <w:pPr>
        <w:pStyle w:val="Reference"/>
        <w:ind w:left="400" w:hanging="400"/>
        <w:rPr>
          <w:lang w:val="en-US" w:eastAsia="zh-CN"/>
        </w:rPr>
      </w:pPr>
      <w:bookmarkStart w:id="1" w:name="_Ref180568124"/>
      <w:r w:rsidRPr="00155662">
        <w:rPr>
          <w:lang w:val="en-US" w:eastAsia="zh-CN"/>
        </w:rPr>
        <w:t>R</w:t>
      </w:r>
      <w:r w:rsidR="00F33448">
        <w:rPr>
          <w:lang w:val="en-US" w:eastAsia="zh-CN"/>
        </w:rPr>
        <w:t>P</w:t>
      </w:r>
      <w:r w:rsidRPr="00155662">
        <w:rPr>
          <w:lang w:val="en-US" w:eastAsia="zh-CN"/>
        </w:rPr>
        <w:t>-</w:t>
      </w:r>
      <w:r w:rsidR="00F33448" w:rsidRPr="00F33448">
        <w:rPr>
          <w:lang w:val="en-US" w:eastAsia="zh-CN"/>
        </w:rPr>
        <w:t>243300</w:t>
      </w:r>
      <w:r w:rsidR="008C7FB6" w:rsidRPr="001B33CB">
        <w:rPr>
          <w:lang w:val="en-US" w:eastAsia="zh-CN"/>
        </w:rPr>
        <w:t xml:space="preserve">, </w:t>
      </w:r>
      <w:r w:rsidR="00F33448" w:rsidRPr="00F33448">
        <w:rPr>
          <w:lang w:val="en-US" w:eastAsia="zh-CN"/>
        </w:rPr>
        <w:t>Revised WID: Non-Terrestrial Networks (NTN) for NR Phase 3</w:t>
      </w:r>
      <w:r w:rsidR="008C7FB6" w:rsidRPr="001B33CB">
        <w:rPr>
          <w:lang w:val="en-US" w:eastAsia="zh-CN"/>
        </w:rPr>
        <w:t>, RAN#1</w:t>
      </w:r>
      <w:r w:rsidR="00F33448">
        <w:rPr>
          <w:lang w:val="en-US" w:eastAsia="zh-CN"/>
        </w:rPr>
        <w:t>06</w:t>
      </w:r>
      <w:r w:rsidR="008C7FB6">
        <w:rPr>
          <w:lang w:val="en-US" w:eastAsia="zh-CN"/>
        </w:rPr>
        <w:t>,</w:t>
      </w:r>
      <w:r w:rsidR="008C7FB6" w:rsidRPr="001B33CB">
        <w:rPr>
          <w:lang w:val="en-US" w:eastAsia="zh-CN"/>
        </w:rPr>
        <w:t xml:space="preserve"> </w:t>
      </w:r>
      <w:bookmarkEnd w:id="1"/>
      <w:r w:rsidR="00F33448" w:rsidRPr="00F33448">
        <w:rPr>
          <w:lang w:val="en-US" w:eastAsia="zh-CN"/>
        </w:rPr>
        <w:t>Thales, CATT</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C1061" w14:textId="77777777" w:rsidR="0010795D" w:rsidRDefault="0010795D">
      <w:pPr>
        <w:spacing w:after="0"/>
      </w:pPr>
      <w:r>
        <w:separator/>
      </w:r>
    </w:p>
  </w:endnote>
  <w:endnote w:type="continuationSeparator" w:id="0">
    <w:p w14:paraId="52D38381" w14:textId="77777777" w:rsidR="0010795D" w:rsidRDefault="00107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BD932" w14:textId="77777777" w:rsidR="0010795D" w:rsidRDefault="0010795D">
      <w:pPr>
        <w:spacing w:after="0"/>
      </w:pPr>
      <w:r>
        <w:separator/>
      </w:r>
    </w:p>
  </w:footnote>
  <w:footnote w:type="continuationSeparator" w:id="0">
    <w:p w14:paraId="235A0989" w14:textId="77777777" w:rsidR="0010795D" w:rsidRDefault="00107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2A2BB0"/>
    <w:multiLevelType w:val="hybridMultilevel"/>
    <w:tmpl w:val="2A4C00C4"/>
    <w:lvl w:ilvl="0" w:tplc="9EAA70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72685A48"/>
    <w:multiLevelType w:val="hybridMultilevel"/>
    <w:tmpl w:val="87961CA8"/>
    <w:lvl w:ilvl="0" w:tplc="9EAA70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2"/>
  </w:num>
  <w:num w:numId="2">
    <w:abstractNumId w:val="15"/>
  </w:num>
  <w:num w:numId="3">
    <w:abstractNumId w:val="6"/>
  </w:num>
  <w:num w:numId="4">
    <w:abstractNumId w:val="8"/>
  </w:num>
  <w:num w:numId="5">
    <w:abstractNumId w:val="4"/>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10"/>
  </w:num>
  <w:num w:numId="13">
    <w:abstractNumId w:val="12"/>
  </w:num>
  <w:num w:numId="14">
    <w:abstractNumId w:val="3"/>
  </w:num>
  <w:num w:numId="15">
    <w:abstractNumId w:val="1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6"/>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330"/>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542C"/>
    <w:rsid w:val="000D6215"/>
    <w:rsid w:val="000D758E"/>
    <w:rsid w:val="000E256D"/>
    <w:rsid w:val="000F0B45"/>
    <w:rsid w:val="000F20DF"/>
    <w:rsid w:val="000F3B9B"/>
    <w:rsid w:val="000F6E78"/>
    <w:rsid w:val="00106916"/>
    <w:rsid w:val="00106E4B"/>
    <w:rsid w:val="0010795D"/>
    <w:rsid w:val="001108F8"/>
    <w:rsid w:val="001175B5"/>
    <w:rsid w:val="00121693"/>
    <w:rsid w:val="00121A2C"/>
    <w:rsid w:val="00121D93"/>
    <w:rsid w:val="00122C4A"/>
    <w:rsid w:val="00125652"/>
    <w:rsid w:val="001272DC"/>
    <w:rsid w:val="00133CAA"/>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1F7429"/>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64F4"/>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28D9"/>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11FE1"/>
    <w:rsid w:val="00616955"/>
    <w:rsid w:val="0061786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070AF"/>
    <w:rsid w:val="00710B70"/>
    <w:rsid w:val="00710F64"/>
    <w:rsid w:val="00714285"/>
    <w:rsid w:val="00714D85"/>
    <w:rsid w:val="00716D1B"/>
    <w:rsid w:val="00716E0D"/>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492E"/>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7A6"/>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89D"/>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30A8"/>
    <w:rsid w:val="00934076"/>
    <w:rsid w:val="009342E2"/>
    <w:rsid w:val="00934FF1"/>
    <w:rsid w:val="00935CB1"/>
    <w:rsid w:val="00941A9C"/>
    <w:rsid w:val="00943A58"/>
    <w:rsid w:val="009466A7"/>
    <w:rsid w:val="009521C3"/>
    <w:rsid w:val="00952EBA"/>
    <w:rsid w:val="00953B09"/>
    <w:rsid w:val="009546D7"/>
    <w:rsid w:val="0095517A"/>
    <w:rsid w:val="00955313"/>
    <w:rsid w:val="009557F1"/>
    <w:rsid w:val="00960FE6"/>
    <w:rsid w:val="009614E1"/>
    <w:rsid w:val="009662F7"/>
    <w:rsid w:val="009666BA"/>
    <w:rsid w:val="00970155"/>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6B2"/>
    <w:rsid w:val="00A96BB0"/>
    <w:rsid w:val="00AA24B4"/>
    <w:rsid w:val="00AA3DF7"/>
    <w:rsid w:val="00AA3E3D"/>
    <w:rsid w:val="00AA488B"/>
    <w:rsid w:val="00AB0890"/>
    <w:rsid w:val="00AB0E7B"/>
    <w:rsid w:val="00AB0FC5"/>
    <w:rsid w:val="00AB2EBE"/>
    <w:rsid w:val="00AB3C3B"/>
    <w:rsid w:val="00AB72E3"/>
    <w:rsid w:val="00AC1747"/>
    <w:rsid w:val="00AC3EAD"/>
    <w:rsid w:val="00AC461A"/>
    <w:rsid w:val="00AC5345"/>
    <w:rsid w:val="00AC5793"/>
    <w:rsid w:val="00AC5CD4"/>
    <w:rsid w:val="00AC6626"/>
    <w:rsid w:val="00AD0519"/>
    <w:rsid w:val="00AD0DE7"/>
    <w:rsid w:val="00AD64C4"/>
    <w:rsid w:val="00AD7A7B"/>
    <w:rsid w:val="00AE21C3"/>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2D3"/>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80DCB"/>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4793B"/>
    <w:rsid w:val="00D514FE"/>
    <w:rsid w:val="00D52A5A"/>
    <w:rsid w:val="00D53400"/>
    <w:rsid w:val="00D558C8"/>
    <w:rsid w:val="00D60119"/>
    <w:rsid w:val="00D61605"/>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0FAE"/>
    <w:rsid w:val="00E359AA"/>
    <w:rsid w:val="00E35F60"/>
    <w:rsid w:val="00E375A2"/>
    <w:rsid w:val="00E37F22"/>
    <w:rsid w:val="00E46DE6"/>
    <w:rsid w:val="00E504C1"/>
    <w:rsid w:val="00E52409"/>
    <w:rsid w:val="00E524A7"/>
    <w:rsid w:val="00E525E6"/>
    <w:rsid w:val="00E54304"/>
    <w:rsid w:val="00E54681"/>
    <w:rsid w:val="00E57A0C"/>
    <w:rsid w:val="00E6511D"/>
    <w:rsid w:val="00E6519A"/>
    <w:rsid w:val="00E65CE8"/>
    <w:rsid w:val="00E67299"/>
    <w:rsid w:val="00E6769A"/>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6F6E"/>
    <w:rsid w:val="00F37157"/>
    <w:rsid w:val="00F403C4"/>
    <w:rsid w:val="00F449D9"/>
    <w:rsid w:val="00F4639E"/>
    <w:rsid w:val="00F50497"/>
    <w:rsid w:val="00F512E1"/>
    <w:rsid w:val="00F532C4"/>
    <w:rsid w:val="00F539C3"/>
    <w:rsid w:val="00F55A84"/>
    <w:rsid w:val="00F55D48"/>
    <w:rsid w:val="00F607D8"/>
    <w:rsid w:val="00F60B0E"/>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uiPriority w:val="99"/>
    <w:qFormat/>
    <w:locked/>
    <w:rPr>
      <w:rFonts w:ascii="Arial" w:eastAsia="Times New Roman" w:hAnsi="Arial" w:cs="Arial"/>
      <w:b/>
      <w:sz w:val="18"/>
      <w:lang w:val="en-GB" w:eastAsia="ko-KR"/>
    </w:rPr>
  </w:style>
  <w:style w:type="paragraph" w:customStyle="1" w:styleId="TAH">
    <w:name w:val="TAH"/>
    <w:basedOn w:val="TAC"/>
    <w:link w:val="TAHCar"/>
    <w:uiPriority w:val="99"/>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EC49F-9628-49A6-9E0D-03D6E290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64</TotalTime>
  <Pages>3</Pages>
  <Words>690</Words>
  <Characters>3934</Characters>
  <Application>Microsoft Office Word</Application>
  <DocSecurity>0</DocSecurity>
  <Lines>32</Lines>
  <Paragraphs>9</Paragraphs>
  <ScaleCrop>false</ScaleCrop>
  <Company>Huawei Technologies Co.,Ltd.</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12</cp:revision>
  <dcterms:created xsi:type="dcterms:W3CDTF">2025-05-06T02:12:00Z</dcterms:created>
  <dcterms:modified xsi:type="dcterms:W3CDTF">2025-05-09T15:39:00Z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#115</vt:lpwstr>
  </property>
  <property fmtid="{D5CDD505-2E9C-101B-9397-08002B2CF9AE}" pid="3" name="Line2">
    <vt:lpwstr>Malta , MT, 19 - 23 May, 2025</vt:lpwstr>
  </property>
  <property fmtid="{D5CDD505-2E9C-101B-9397-08002B2CF9AE}" pid="4" name="Tdoc">
    <vt:lpwstr>R4-2507028</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NR NTN Phase 3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7.31.7</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1746800758</vt:lpwstr>
  </property>
</Properties>
</file>